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200"/>
        <w:gridCol w:w="9006"/>
      </w:tblGrid>
      <w:tr w:rsidR="0070549D" w:rsidTr="00B46FA1">
        <w:tc>
          <w:tcPr>
            <w:tcW w:w="1200" w:type="dxa"/>
            <w:tcBorders>
              <w:top w:val="none" w:sz="0" w:space="0" w:color="FFFFFF"/>
              <w:left w:val="none" w:sz="0" w:space="0" w:color="FFFFFF"/>
              <w:bottom w:val="none" w:sz="0" w:space="0" w:color="FFFFFF"/>
              <w:right w:val="none" w:sz="0" w:space="0" w:color="FFFFFF"/>
            </w:tcBorders>
            <w:shd w:val="clear" w:color="auto" w:fill="1A7A3C"/>
            <w:tcMar>
              <w:top w:w="160" w:type="dxa"/>
              <w:left w:w="100" w:type="dxa"/>
              <w:bottom w:w="160" w:type="dxa"/>
              <w:right w:w="100" w:type="dxa"/>
            </w:tcMar>
            <w:vAlign w:val="center"/>
          </w:tcPr>
          <w:p w:rsidR="0070549D" w:rsidRDefault="0070549D" w:rsidP="00B46FA1">
            <w:pPr>
              <w:jc w:val="center"/>
            </w:pPr>
            <w:r>
              <w:rPr>
                <w:b/>
                <w:bCs/>
                <w:color w:val="FFFFFF"/>
                <w:sz w:val="56"/>
                <w:szCs w:val="56"/>
              </w:rPr>
              <w:t>5</w:t>
            </w:r>
          </w:p>
        </w:tc>
        <w:tc>
          <w:tcPr>
            <w:tcW w:w="9006" w:type="dxa"/>
            <w:tcBorders>
              <w:top w:val="none" w:sz="0" w:space="0" w:color="FFFFFF"/>
              <w:left w:val="none" w:sz="0" w:space="0" w:color="FFFFFF"/>
              <w:bottom w:val="none" w:sz="0" w:space="0" w:color="FFFFFF"/>
              <w:right w:val="none" w:sz="0" w:space="0" w:color="FFFFFF"/>
            </w:tcBorders>
            <w:shd w:val="clear" w:color="auto" w:fill="D5F5E3"/>
            <w:tcMar>
              <w:top w:w="140" w:type="dxa"/>
              <w:left w:w="240" w:type="dxa"/>
              <w:bottom w:w="140" w:type="dxa"/>
              <w:right w:w="200" w:type="dxa"/>
            </w:tcMar>
            <w:vAlign w:val="center"/>
          </w:tcPr>
          <w:p w:rsidR="0070549D" w:rsidRDefault="0070549D" w:rsidP="00B46FA1">
            <w:pPr>
              <w:spacing w:before="60" w:after="60"/>
            </w:pPr>
            <w:r>
              <w:rPr>
                <w:b/>
                <w:bCs/>
                <w:color w:val="1A7A3C"/>
                <w:sz w:val="36"/>
                <w:szCs w:val="36"/>
              </w:rPr>
              <w:t>LES CLAPETS ANTI-RETOUR</w:t>
            </w:r>
          </w:p>
          <w:p w:rsidR="0070549D" w:rsidRDefault="0070549D" w:rsidP="00B46FA1">
            <w:pPr>
              <w:spacing w:before="60" w:after="60"/>
            </w:pPr>
            <w:r>
              <w:rPr>
                <w:i/>
                <w:iCs/>
                <w:color w:val="555555"/>
                <w:sz w:val="20"/>
                <w:szCs w:val="20"/>
              </w:rPr>
              <w:t>Quai Albert de Luynes — Sur la digue</w:t>
            </w:r>
          </w:p>
        </w:tc>
      </w:tr>
    </w:tbl>
    <w:p w:rsidR="0070549D" w:rsidRDefault="0070549D" w:rsidP="0070549D">
      <w:pPr>
        <w:spacing w:before="80" w:after="60"/>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0206"/>
      </w:tblGrid>
      <w:tr w:rsidR="0070549D" w:rsidTr="00B46FA1">
        <w:tc>
          <w:tcPr>
            <w:tcW w:w="10206" w:type="dxa"/>
            <w:tcBorders>
              <w:top w:val="single" w:sz="6" w:space="0" w:color="1A7A3C"/>
              <w:left w:val="single" w:sz="6" w:space="0" w:color="1A7A3C"/>
              <w:bottom w:val="single" w:sz="6" w:space="0" w:color="1A7A3C"/>
              <w:right w:val="single" w:sz="6" w:space="0" w:color="1A7A3C"/>
            </w:tcBorders>
            <w:shd w:val="clear" w:color="auto" w:fill="D5F5E3"/>
            <w:tcMar>
              <w:top w:w="140" w:type="dxa"/>
              <w:left w:w="220" w:type="dxa"/>
              <w:bottom w:w="140" w:type="dxa"/>
              <w:right w:w="220" w:type="dxa"/>
            </w:tcMar>
          </w:tcPr>
          <w:p w:rsidR="0070549D" w:rsidRDefault="0070549D" w:rsidP="00B46FA1">
            <w:pPr>
              <w:spacing w:before="60" w:after="60"/>
            </w:pPr>
            <w:r>
              <w:rPr>
                <w:b/>
                <w:bCs/>
                <w:color w:val="1A7A3C"/>
                <w:sz w:val="23"/>
                <w:szCs w:val="23"/>
              </w:rPr>
              <w:t xml:space="preserve">Qu'est-ce qu'un clapet anti-retour ?  </w:t>
            </w:r>
          </w:p>
          <w:p w:rsidR="0070549D" w:rsidRDefault="0070549D" w:rsidP="00B46FA1">
            <w:pPr>
              <w:spacing w:before="20" w:after="20"/>
            </w:pPr>
          </w:p>
          <w:p w:rsidR="0070549D" w:rsidRDefault="0070549D" w:rsidP="00B46FA1">
            <w:pPr>
              <w:spacing w:before="60" w:after="60"/>
            </w:pPr>
            <w:r>
              <w:rPr>
                <w:color w:val="555555"/>
              </w:rPr>
              <w:t>Un clapet anti-retour est une valve placée dans la digue, au débouché des tuyaux d'évacuation des eaux pluviales de la ville. Il laisse l'eau de ruissellement s'écouler de la ville vers le fleuve, mais se ferme automatiquement quand le niveau du Rhône monte, empêchant l'eau du fleuve de remonter dans les canalisations de la ville.</w:t>
            </w:r>
          </w:p>
        </w:tc>
      </w:tr>
    </w:tbl>
    <w:p w:rsidR="0070549D" w:rsidRDefault="0070549D" w:rsidP="0070549D">
      <w:pPr>
        <w:spacing w:before="80" w:after="60"/>
      </w:pPr>
    </w:p>
    <w:p w:rsidR="0070549D" w:rsidRDefault="0070549D" w:rsidP="0070549D">
      <w:pPr>
        <w:spacing w:before="60" w:after="60"/>
      </w:pPr>
      <w:r>
        <w:rPr>
          <w:b/>
          <w:bCs/>
          <w:color w:val="1A7A3C"/>
        </w:rPr>
        <w:t>Photo terrain et schéma de fonctionnement :</w:t>
      </w:r>
    </w:p>
    <w:p w:rsidR="0070549D" w:rsidRDefault="0070549D" w:rsidP="0070549D">
      <w:pPr>
        <w:spacing w:before="40" w:after="20"/>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4692"/>
        <w:gridCol w:w="5514"/>
      </w:tblGrid>
      <w:tr w:rsidR="0070549D" w:rsidTr="00B46FA1">
        <w:tc>
          <w:tcPr>
            <w:tcW w:w="4600" w:type="dxa"/>
            <w:tcBorders>
              <w:top w:val="single" w:sz="4" w:space="0" w:color="1A7A3C"/>
              <w:left w:val="single" w:sz="4" w:space="0" w:color="1A7A3C"/>
              <w:bottom w:val="single" w:sz="4" w:space="0" w:color="1A7A3C"/>
              <w:right w:val="single" w:sz="4" w:space="0" w:color="1A7A3C"/>
            </w:tcBorders>
            <w:tcMar>
              <w:top w:w="60" w:type="dxa"/>
              <w:left w:w="60" w:type="dxa"/>
              <w:bottom w:w="0" w:type="dxa"/>
              <w:right w:w="60" w:type="dxa"/>
            </w:tcMar>
          </w:tcPr>
          <w:p w:rsidR="0070549D" w:rsidRDefault="0070549D" w:rsidP="00B46FA1">
            <w:pPr>
              <w:jc w:val="center"/>
            </w:pPr>
            <w:r>
              <w:rPr>
                <w:noProof/>
              </w:rPr>
              <w:drawing>
                <wp:inline distT="0" distB="0" distL="0" distR="0" wp14:anchorId="760DD0CE" wp14:editId="0B10580A">
                  <wp:extent cx="2571750" cy="2461260"/>
                  <wp:effectExtent l="0" t="0" r="0" b="0"/>
                  <wp:docPr id="3" name="img" descr="img" title="im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571750" cy="2461260"/>
                          </a:xfrm>
                          <a:prstGeom prst="rect">
                            <a:avLst/>
                          </a:prstGeom>
                        </pic:spPr>
                      </pic:pic>
                    </a:graphicData>
                  </a:graphic>
                </wp:inline>
              </w:drawing>
            </w:r>
          </w:p>
        </w:tc>
        <w:tc>
          <w:tcPr>
            <w:tcW w:w="5406" w:type="dxa"/>
            <w:tcBorders>
              <w:top w:val="single" w:sz="4" w:space="0" w:color="2980B9"/>
              <w:left w:val="single" w:sz="4" w:space="0" w:color="2980B9"/>
              <w:bottom w:val="single" w:sz="4" w:space="0" w:color="2980B9"/>
              <w:right w:val="single" w:sz="4" w:space="0" w:color="2980B9"/>
            </w:tcBorders>
            <w:tcMar>
              <w:top w:w="60" w:type="dxa"/>
              <w:left w:w="60" w:type="dxa"/>
              <w:bottom w:w="0" w:type="dxa"/>
              <w:right w:w="60" w:type="dxa"/>
            </w:tcMar>
          </w:tcPr>
          <w:p w:rsidR="0070549D" w:rsidRDefault="0070549D" w:rsidP="00B46FA1">
            <w:pPr>
              <w:jc w:val="center"/>
            </w:pPr>
            <w:r>
              <w:rPr>
                <w:noProof/>
              </w:rPr>
              <w:drawing>
                <wp:inline distT="0" distB="0" distL="0" distR="0" wp14:anchorId="0D0E2C03" wp14:editId="73BB214A">
                  <wp:extent cx="2952750" cy="2190750"/>
                  <wp:effectExtent l="0" t="0" r="0" b="0"/>
                  <wp:docPr id="4" name="img" descr="img" title="im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952750" cy="2190750"/>
                          </a:xfrm>
                          <a:prstGeom prst="rect">
                            <a:avLst/>
                          </a:prstGeom>
                        </pic:spPr>
                      </pic:pic>
                    </a:graphicData>
                  </a:graphic>
                </wp:inline>
              </w:drawing>
            </w:r>
          </w:p>
        </w:tc>
      </w:tr>
      <w:tr w:rsidR="0070549D" w:rsidTr="00B46FA1">
        <w:tc>
          <w:tcPr>
            <w:tcW w:w="4600" w:type="dxa"/>
            <w:tcBorders>
              <w:top w:val="single" w:sz="4" w:space="0" w:color="1A7A3C"/>
              <w:left w:val="single" w:sz="4" w:space="0" w:color="1A7A3C"/>
              <w:bottom w:val="single" w:sz="4" w:space="0" w:color="1A7A3C"/>
              <w:right w:val="single" w:sz="4" w:space="0" w:color="1A7A3C"/>
            </w:tcBorders>
            <w:shd w:val="clear" w:color="auto" w:fill="1A7A3C"/>
            <w:tcMar>
              <w:top w:w="80" w:type="dxa"/>
              <w:left w:w="120" w:type="dxa"/>
              <w:bottom w:w="80" w:type="dxa"/>
              <w:right w:w="120" w:type="dxa"/>
            </w:tcMar>
          </w:tcPr>
          <w:p w:rsidR="0070549D" w:rsidRDefault="0070549D" w:rsidP="00B46FA1">
            <w:pPr>
              <w:spacing w:before="60" w:after="60"/>
            </w:pPr>
            <w:r>
              <w:rPr>
                <w:b/>
                <w:bCs/>
                <w:color w:val="FFFFFF"/>
                <w:sz w:val="19"/>
                <w:szCs w:val="19"/>
              </w:rPr>
              <w:t xml:space="preserve">Clapet rouge — </w:t>
            </w:r>
            <w:r>
              <w:rPr>
                <w:color w:val="FFFFFF"/>
                <w:sz w:val="19"/>
                <w:szCs w:val="19"/>
              </w:rPr>
              <w:t>Visible sur la digue. Le mécanisme rouge est la valve ; le cylindre gris est le tuyau d'évacuation.</w:t>
            </w:r>
            <w:r w:rsidR="00EF5960">
              <w:rPr>
                <w:color w:val="FFFFFF"/>
                <w:sz w:val="19"/>
                <w:szCs w:val="19"/>
              </w:rPr>
              <w:t xml:space="preserve"> (photo enseignante)</w:t>
            </w:r>
          </w:p>
        </w:tc>
        <w:tc>
          <w:tcPr>
            <w:tcW w:w="5406" w:type="dxa"/>
            <w:tcBorders>
              <w:top w:val="single" w:sz="4" w:space="0" w:color="2980B9"/>
              <w:left w:val="single" w:sz="4" w:space="0" w:color="2980B9"/>
              <w:bottom w:val="single" w:sz="4" w:space="0" w:color="2980B9"/>
              <w:right w:val="single" w:sz="4" w:space="0" w:color="2980B9"/>
            </w:tcBorders>
            <w:shd w:val="clear" w:color="auto" w:fill="2980B9"/>
            <w:tcMar>
              <w:top w:w="80" w:type="dxa"/>
              <w:left w:w="120" w:type="dxa"/>
              <w:bottom w:w="80" w:type="dxa"/>
              <w:right w:w="120" w:type="dxa"/>
            </w:tcMar>
          </w:tcPr>
          <w:p w:rsidR="0070549D" w:rsidRDefault="0070549D" w:rsidP="00B46FA1">
            <w:pPr>
              <w:spacing w:before="60" w:after="60"/>
            </w:pPr>
            <w:r>
              <w:rPr>
                <w:b/>
                <w:bCs/>
                <w:color w:val="FFFFFF"/>
                <w:sz w:val="19"/>
                <w:szCs w:val="19"/>
              </w:rPr>
              <w:t xml:space="preserve">Schéma — </w:t>
            </w:r>
            <w:r>
              <w:rPr>
                <w:color w:val="FFFFFF"/>
                <w:sz w:val="19"/>
                <w:szCs w:val="19"/>
              </w:rPr>
              <w:t>À gauche : clapet ouvert (eau ville → fleuve). À droite : clapet fermé (fleuve monte, valve bloque).</w:t>
            </w:r>
            <w:r w:rsidR="00EF5960">
              <w:rPr>
                <w:color w:val="FFFFFF"/>
                <w:sz w:val="19"/>
                <w:szCs w:val="19"/>
              </w:rPr>
              <w:t xml:space="preserve"> (source : Claude Guillon su site episeine)</w:t>
            </w:r>
            <w:bookmarkStart w:id="0" w:name="_GoBack"/>
            <w:bookmarkEnd w:id="0"/>
          </w:p>
        </w:tc>
      </w:tr>
    </w:tbl>
    <w:p w:rsidR="0070549D" w:rsidRDefault="0070549D" w:rsidP="0070549D">
      <w:pPr>
        <w:spacing w:before="80" w:after="60"/>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0206"/>
      </w:tblGrid>
      <w:tr w:rsidR="0070549D" w:rsidTr="00B46FA1">
        <w:tc>
          <w:tcPr>
            <w:tcW w:w="10206" w:type="dxa"/>
            <w:tcBorders>
              <w:top w:val="single" w:sz="6" w:space="0" w:color="1A7A3C"/>
              <w:left w:val="single" w:sz="6" w:space="0" w:color="1A7A3C"/>
              <w:bottom w:val="single" w:sz="6" w:space="0" w:color="1A7A3C"/>
              <w:right w:val="single" w:sz="6" w:space="0" w:color="1A7A3C"/>
            </w:tcBorders>
            <w:shd w:val="clear" w:color="auto" w:fill="FEF9E7"/>
            <w:tcMar>
              <w:top w:w="140" w:type="dxa"/>
              <w:left w:w="220" w:type="dxa"/>
              <w:bottom w:w="140" w:type="dxa"/>
              <w:right w:w="220" w:type="dxa"/>
            </w:tcMar>
          </w:tcPr>
          <w:p w:rsidR="0070549D" w:rsidRDefault="0070549D" w:rsidP="00B46FA1">
            <w:pPr>
              <w:spacing w:before="60" w:after="60"/>
              <w:rPr>
                <w:color w:val="555555"/>
                <w:sz w:val="21"/>
                <w:szCs w:val="21"/>
              </w:rPr>
            </w:pPr>
            <w:r>
              <w:rPr>
                <w:rFonts w:ascii="Segoe UI Symbol" w:hAnsi="Segoe UI Symbol" w:cs="Segoe UI Symbol"/>
                <w:b/>
                <w:bCs/>
                <w:color w:val="922B21"/>
                <w:sz w:val="21"/>
                <w:szCs w:val="21"/>
              </w:rPr>
              <w:t>⚠</w:t>
            </w:r>
            <w:r>
              <w:rPr>
                <w:b/>
                <w:bCs/>
                <w:color w:val="922B21"/>
                <w:sz w:val="21"/>
                <w:szCs w:val="21"/>
              </w:rPr>
              <w:t xml:space="preserve"> Réchauffement climatique : </w:t>
            </w:r>
            <w:r>
              <w:rPr>
                <w:color w:val="555555"/>
                <w:sz w:val="21"/>
                <w:szCs w:val="21"/>
              </w:rPr>
              <w:t>des crues plus fréquentes et plus longues sollicitent davantage ces systèmes, qui doivent être entretenus régulièrement pour rester efficaces.</w:t>
            </w:r>
          </w:p>
          <w:p w:rsidR="0070549D" w:rsidRDefault="0070549D" w:rsidP="00B46FA1">
            <w:pPr>
              <w:spacing w:before="60" w:after="60"/>
              <w:rPr>
                <w:color w:val="555555"/>
                <w:sz w:val="21"/>
                <w:szCs w:val="21"/>
              </w:rPr>
            </w:pPr>
          </w:p>
          <w:p w:rsidR="0070549D" w:rsidRDefault="0070549D" w:rsidP="00B46FA1">
            <w:pPr>
              <w:spacing w:before="60" w:after="60"/>
            </w:pPr>
            <w:r w:rsidRPr="002A4821">
              <w:rPr>
                <w:b/>
                <w:color w:val="C00000"/>
                <w:sz w:val="21"/>
                <w:szCs w:val="21"/>
              </w:rPr>
              <w:sym w:font="Webdings" w:char="F059"/>
            </w:r>
            <w:r w:rsidRPr="002A4821">
              <w:rPr>
                <w:b/>
                <w:color w:val="C00000"/>
                <w:sz w:val="21"/>
                <w:szCs w:val="21"/>
              </w:rPr>
              <w:t xml:space="preserve"> </w:t>
            </w:r>
            <w:r w:rsidRPr="002A4821">
              <w:rPr>
                <w:rStyle w:val="Accentuation"/>
                <w:b/>
                <w:color w:val="C00000"/>
              </w:rPr>
              <w:t xml:space="preserve">One </w:t>
            </w:r>
            <w:proofErr w:type="spellStart"/>
            <w:r w:rsidRPr="002A4821">
              <w:rPr>
                <w:rStyle w:val="Accentuation"/>
                <w:b/>
                <w:color w:val="C00000"/>
              </w:rPr>
              <w:t>Health</w:t>
            </w:r>
            <w:proofErr w:type="spellEnd"/>
            <w:r w:rsidRPr="002A4821">
              <w:rPr>
                <w:rStyle w:val="Accentuation"/>
                <w:b/>
                <w:color w:val="C00000"/>
              </w:rPr>
              <w:t xml:space="preserve"> :</w:t>
            </w:r>
            <w:r w:rsidRPr="002A4821">
              <w:rPr>
                <w:color w:val="C00000"/>
              </w:rPr>
              <w:t xml:space="preserve"> </w:t>
            </w:r>
            <w:r>
              <w:t xml:space="preserve">Si le Rhône monte et remonte dans les canalisations, il peut contaminer le réseau d'eau potable avec des bactéries, des métaux lourds ou des </w:t>
            </w:r>
            <w:proofErr w:type="spellStart"/>
            <w:r>
              <w:t>microplastiques</w:t>
            </w:r>
            <w:proofErr w:type="spellEnd"/>
            <w:r>
              <w:t xml:space="preserve">. Le clapet protège aussi la santé humaine, pas seulement les sous-sols. </w:t>
            </w:r>
            <w:r w:rsidRPr="002A4821">
              <w:rPr>
                <w:b/>
                <w:color w:val="C00000"/>
              </w:rPr>
              <w:t xml:space="preserve">→ </w:t>
            </w:r>
            <w:r w:rsidRPr="002A4821">
              <w:rPr>
                <w:rStyle w:val="lev"/>
                <w:b w:val="0"/>
                <w:color w:val="C00000"/>
              </w:rPr>
              <w:t>Question élève :</w:t>
            </w:r>
            <w:r w:rsidRPr="002A4821">
              <w:rPr>
                <w:b/>
                <w:color w:val="C00000"/>
              </w:rPr>
              <w:t xml:space="preserve"> </w:t>
            </w:r>
            <w:r w:rsidRPr="002A4821">
              <w:rPr>
                <w:rStyle w:val="Accentuation"/>
                <w:b/>
                <w:color w:val="C00000"/>
              </w:rPr>
              <w:t>"D'où vient l'eau que tu bois ? Si l'eau du Rhône contaminée entrait dans les canalisations de la ville, quelles seraient les conséquences pour la santé ?"</w:t>
            </w:r>
          </w:p>
        </w:tc>
      </w:tr>
    </w:tbl>
    <w:p w:rsidR="0070549D" w:rsidRDefault="0070549D" w:rsidP="0070549D">
      <w:pPr>
        <w:spacing w:before="80" w:after="60"/>
      </w:pPr>
    </w:p>
    <w:p w:rsidR="0070549D" w:rsidRDefault="0070549D" w:rsidP="0070549D">
      <w:pPr>
        <w:spacing w:before="60" w:after="60"/>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0206"/>
      </w:tblGrid>
      <w:tr w:rsidR="0070549D" w:rsidTr="00B46FA1">
        <w:tc>
          <w:tcPr>
            <w:tcW w:w="10206" w:type="dxa"/>
            <w:tcBorders>
              <w:top w:val="single" w:sz="6" w:space="0" w:color="1A7A3C"/>
              <w:left w:val="single" w:sz="6" w:space="0" w:color="1A7A3C"/>
              <w:bottom w:val="single" w:sz="6" w:space="0" w:color="1A7A3C"/>
              <w:right w:val="single" w:sz="6" w:space="0" w:color="1A7A3C"/>
            </w:tcBorders>
            <w:shd w:val="clear" w:color="auto" w:fill="D5F5E3"/>
            <w:tcMar>
              <w:top w:w="140" w:type="dxa"/>
              <w:left w:w="220" w:type="dxa"/>
              <w:bottom w:w="140" w:type="dxa"/>
              <w:right w:w="220" w:type="dxa"/>
            </w:tcMar>
          </w:tcPr>
          <w:p w:rsidR="0070549D" w:rsidRDefault="0070549D" w:rsidP="00B46FA1">
            <w:pPr>
              <w:spacing w:before="60" w:after="60"/>
            </w:pPr>
            <w:r>
              <w:rPr>
                <w:b/>
                <w:bCs/>
                <w:color w:val="1A7A3C"/>
                <w:sz w:val="26"/>
                <w:szCs w:val="26"/>
              </w:rPr>
              <w:t xml:space="preserve">VOTRE MISSION : </w:t>
            </w:r>
          </w:p>
        </w:tc>
      </w:tr>
    </w:tbl>
    <w:p w:rsidR="0070549D" w:rsidRDefault="0070549D" w:rsidP="0070549D">
      <w:pPr>
        <w:spacing w:before="60" w:after="60"/>
      </w:pPr>
    </w:p>
    <w:p w:rsidR="0070549D" w:rsidRDefault="0070549D" w:rsidP="0070549D">
      <w:r>
        <w:rPr>
          <w:b/>
          <w:bCs/>
          <w:color w:val="1A7A3C"/>
        </w:rPr>
        <w:t xml:space="preserve">1 : Réflexion : </w:t>
      </w:r>
      <w:r>
        <w:rPr>
          <w:color w:val="555555"/>
          <w:sz w:val="21"/>
          <w:szCs w:val="21"/>
        </w:rPr>
        <w:t xml:space="preserve">Que se </w:t>
      </w:r>
      <w:proofErr w:type="spellStart"/>
      <w:r>
        <w:rPr>
          <w:color w:val="555555"/>
          <w:sz w:val="21"/>
          <w:szCs w:val="21"/>
        </w:rPr>
        <w:t>passerait-il</w:t>
      </w:r>
      <w:proofErr w:type="spellEnd"/>
      <w:r>
        <w:rPr>
          <w:color w:val="555555"/>
          <w:sz w:val="21"/>
          <w:szCs w:val="21"/>
        </w:rPr>
        <w:t xml:space="preserve"> si les clapets tombaient en panne pendant une crue ?</w:t>
      </w:r>
    </w:p>
    <w:p w:rsidR="009468F8" w:rsidRDefault="009468F8" w:rsidP="002A4821">
      <w:pPr>
        <w:spacing w:before="60" w:after="20"/>
      </w:pPr>
    </w:p>
    <w:sectPr w:rsidR="009468F8">
      <w:pgSz w:w="11906" w:h="16838"/>
      <w:pgMar w:top="850" w:right="850" w:bottom="850" w:left="85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Webdings">
    <w:panose1 w:val="05030102010509060703"/>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D856B1D"/>
    <w:multiLevelType w:val="hybridMultilevel"/>
    <w:tmpl w:val="0E367448"/>
    <w:lvl w:ilvl="0" w:tplc="8C7E4CB4">
      <w:start w:val="1"/>
      <w:numFmt w:val="bullet"/>
      <w:lvlText w:val="●"/>
      <w:lvlJc w:val="left"/>
      <w:pPr>
        <w:ind w:left="720" w:hanging="360"/>
      </w:pPr>
    </w:lvl>
    <w:lvl w:ilvl="1" w:tplc="18FAB5B4">
      <w:start w:val="1"/>
      <w:numFmt w:val="bullet"/>
      <w:lvlText w:val="○"/>
      <w:lvlJc w:val="left"/>
      <w:pPr>
        <w:ind w:left="1440" w:hanging="360"/>
      </w:pPr>
    </w:lvl>
    <w:lvl w:ilvl="2" w:tplc="29F4FAA6">
      <w:start w:val="1"/>
      <w:numFmt w:val="bullet"/>
      <w:lvlText w:val="■"/>
      <w:lvlJc w:val="left"/>
      <w:pPr>
        <w:ind w:left="2160" w:hanging="360"/>
      </w:pPr>
    </w:lvl>
    <w:lvl w:ilvl="3" w:tplc="499EBEAC">
      <w:start w:val="1"/>
      <w:numFmt w:val="bullet"/>
      <w:lvlText w:val="●"/>
      <w:lvlJc w:val="left"/>
      <w:pPr>
        <w:ind w:left="2880" w:hanging="360"/>
      </w:pPr>
    </w:lvl>
    <w:lvl w:ilvl="4" w:tplc="4E8014E0">
      <w:start w:val="1"/>
      <w:numFmt w:val="bullet"/>
      <w:lvlText w:val="○"/>
      <w:lvlJc w:val="left"/>
      <w:pPr>
        <w:ind w:left="3600" w:hanging="360"/>
      </w:pPr>
    </w:lvl>
    <w:lvl w:ilvl="5" w:tplc="41FEF75C">
      <w:start w:val="1"/>
      <w:numFmt w:val="bullet"/>
      <w:lvlText w:val="■"/>
      <w:lvlJc w:val="left"/>
      <w:pPr>
        <w:ind w:left="4320" w:hanging="360"/>
      </w:pPr>
    </w:lvl>
    <w:lvl w:ilvl="6" w:tplc="30E4EC16">
      <w:start w:val="1"/>
      <w:numFmt w:val="bullet"/>
      <w:lvlText w:val="●"/>
      <w:lvlJc w:val="left"/>
      <w:pPr>
        <w:ind w:left="5040" w:hanging="360"/>
      </w:pPr>
    </w:lvl>
    <w:lvl w:ilvl="7" w:tplc="B6B84DB6">
      <w:start w:val="1"/>
      <w:numFmt w:val="bullet"/>
      <w:lvlText w:val="●"/>
      <w:lvlJc w:val="left"/>
      <w:pPr>
        <w:ind w:left="5760" w:hanging="360"/>
      </w:pPr>
    </w:lvl>
    <w:lvl w:ilvl="8" w:tplc="A0185AAC">
      <w:start w:val="1"/>
      <w:numFmt w:val="bullet"/>
      <w:lvlText w:val="●"/>
      <w:lvlJc w:val="left"/>
      <w:pPr>
        <w:ind w:left="6480" w:hanging="360"/>
      </w:pPr>
    </w:lvl>
  </w:abstractNum>
  <w:abstractNum w:abstractNumId="1" w15:restartNumberingAfterBreak="0">
    <w:nsid w:val="7D866428"/>
    <w:multiLevelType w:val="hybridMultilevel"/>
    <w:tmpl w:val="1B44569A"/>
    <w:lvl w:ilvl="0" w:tplc="DB284170">
      <w:start w:val="1"/>
      <w:numFmt w:val="decimal"/>
      <w:lvlText w:val="%1."/>
      <w:lvlJc w:val="left"/>
      <w:pPr>
        <w:ind w:left="600" w:hanging="300"/>
      </w:pPr>
    </w:lvl>
    <w:lvl w:ilvl="1" w:tplc="BA0E5C44">
      <w:numFmt w:val="decimal"/>
      <w:lvlText w:val=""/>
      <w:lvlJc w:val="left"/>
    </w:lvl>
    <w:lvl w:ilvl="2" w:tplc="131C98FE">
      <w:numFmt w:val="decimal"/>
      <w:lvlText w:val=""/>
      <w:lvlJc w:val="left"/>
    </w:lvl>
    <w:lvl w:ilvl="3" w:tplc="F4480B56">
      <w:numFmt w:val="decimal"/>
      <w:lvlText w:val=""/>
      <w:lvlJc w:val="left"/>
    </w:lvl>
    <w:lvl w:ilvl="4" w:tplc="4448D824">
      <w:numFmt w:val="decimal"/>
      <w:lvlText w:val=""/>
      <w:lvlJc w:val="left"/>
    </w:lvl>
    <w:lvl w:ilvl="5" w:tplc="7784848E">
      <w:numFmt w:val="decimal"/>
      <w:lvlText w:val=""/>
      <w:lvlJc w:val="left"/>
    </w:lvl>
    <w:lvl w:ilvl="6" w:tplc="CE449D94">
      <w:numFmt w:val="decimal"/>
      <w:lvlText w:val=""/>
      <w:lvlJc w:val="left"/>
    </w:lvl>
    <w:lvl w:ilvl="7" w:tplc="A7A85220">
      <w:numFmt w:val="decimal"/>
      <w:lvlText w:val=""/>
      <w:lvlJc w:val="left"/>
    </w:lvl>
    <w:lvl w:ilvl="8" w:tplc="1F9E577A">
      <w:numFmt w:val="decimal"/>
      <w:lvlText w:val=""/>
      <w:lvlJc w:val="left"/>
    </w:lvl>
  </w:abstractNum>
  <w:abstractNum w:abstractNumId="2" w15:restartNumberingAfterBreak="0">
    <w:nsid w:val="7F8A2CE2"/>
    <w:multiLevelType w:val="hybridMultilevel"/>
    <w:tmpl w:val="1BF4D5DC"/>
    <w:lvl w:ilvl="0" w:tplc="D972AC24">
      <w:start w:val="1"/>
      <w:numFmt w:val="bullet"/>
      <w:lvlText w:val="•"/>
      <w:lvlJc w:val="left"/>
      <w:pPr>
        <w:ind w:left="600" w:hanging="300"/>
      </w:pPr>
    </w:lvl>
    <w:lvl w:ilvl="1" w:tplc="5B844D4E">
      <w:numFmt w:val="decimal"/>
      <w:lvlText w:val=""/>
      <w:lvlJc w:val="left"/>
    </w:lvl>
    <w:lvl w:ilvl="2" w:tplc="369EC9B2">
      <w:numFmt w:val="decimal"/>
      <w:lvlText w:val=""/>
      <w:lvlJc w:val="left"/>
    </w:lvl>
    <w:lvl w:ilvl="3" w:tplc="630C2308">
      <w:numFmt w:val="decimal"/>
      <w:lvlText w:val=""/>
      <w:lvlJc w:val="left"/>
    </w:lvl>
    <w:lvl w:ilvl="4" w:tplc="31027CA6">
      <w:numFmt w:val="decimal"/>
      <w:lvlText w:val=""/>
      <w:lvlJc w:val="left"/>
    </w:lvl>
    <w:lvl w:ilvl="5" w:tplc="891A4B5E">
      <w:numFmt w:val="decimal"/>
      <w:lvlText w:val=""/>
      <w:lvlJc w:val="left"/>
    </w:lvl>
    <w:lvl w:ilvl="6" w:tplc="EB3E6948">
      <w:numFmt w:val="decimal"/>
      <w:lvlText w:val=""/>
      <w:lvlJc w:val="left"/>
    </w:lvl>
    <w:lvl w:ilvl="7" w:tplc="8236DCDC">
      <w:numFmt w:val="decimal"/>
      <w:lvlText w:val=""/>
      <w:lvlJc w:val="left"/>
    </w:lvl>
    <w:lvl w:ilvl="8" w:tplc="7E2827C4">
      <w:numFmt w:val="decimal"/>
      <w:lvlText w:val=""/>
      <w:lvlJc w:val="left"/>
    </w:lvl>
  </w:abstractNum>
  <w:num w:numId="1">
    <w:abstractNumId w:val="0"/>
    <w:lvlOverride w:ilvl="0">
      <w:startOverride w:val="1"/>
    </w:lvlOverride>
  </w:num>
  <w:num w:numId="2">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68F8"/>
    <w:rsid w:val="000004F5"/>
    <w:rsid w:val="002A4821"/>
    <w:rsid w:val="0070549D"/>
    <w:rsid w:val="009468F8"/>
    <w:rsid w:val="009A0EDB"/>
    <w:rsid w:val="00DB23C7"/>
    <w:rsid w:val="00EF596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79DE2B"/>
  <w15:docId w15:val="{BC81E16E-ED92-460C-BC70-6976944D9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qFormat/>
    <w:pPr>
      <w:outlineLvl w:val="0"/>
    </w:pPr>
    <w:rPr>
      <w:color w:val="2E74B5"/>
      <w:sz w:val="32"/>
      <w:szCs w:val="32"/>
    </w:rPr>
  </w:style>
  <w:style w:type="paragraph" w:styleId="Titre2">
    <w:name w:val="heading 2"/>
    <w:qFormat/>
    <w:pPr>
      <w:outlineLvl w:val="1"/>
    </w:pPr>
    <w:rPr>
      <w:color w:val="2E74B5"/>
      <w:sz w:val="26"/>
      <w:szCs w:val="26"/>
    </w:rPr>
  </w:style>
  <w:style w:type="paragraph" w:styleId="Titre3">
    <w:name w:val="heading 3"/>
    <w:qFormat/>
    <w:pPr>
      <w:outlineLvl w:val="2"/>
    </w:pPr>
    <w:rPr>
      <w:color w:val="1F4D78"/>
      <w:sz w:val="24"/>
      <w:szCs w:val="24"/>
    </w:rPr>
  </w:style>
  <w:style w:type="paragraph" w:styleId="Titre4">
    <w:name w:val="heading 4"/>
    <w:qFormat/>
    <w:pPr>
      <w:outlineLvl w:val="3"/>
    </w:pPr>
    <w:rPr>
      <w:i/>
      <w:iCs/>
      <w:color w:val="2E74B5"/>
    </w:rPr>
  </w:style>
  <w:style w:type="paragraph" w:styleId="Titre5">
    <w:name w:val="heading 5"/>
    <w:qFormat/>
    <w:pPr>
      <w:outlineLvl w:val="4"/>
    </w:pPr>
    <w:rPr>
      <w:color w:val="2E74B5"/>
    </w:rPr>
  </w:style>
  <w:style w:type="paragraph" w:styleId="Titre6">
    <w:name w:val="heading 6"/>
    <w:qFormat/>
    <w:pPr>
      <w:outlineLvl w:val="5"/>
    </w:pPr>
    <w:rPr>
      <w:color w:val="1F4D7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qFormat/>
    <w:rPr>
      <w:sz w:val="56"/>
      <w:szCs w:val="56"/>
    </w:rPr>
  </w:style>
  <w:style w:type="paragraph" w:customStyle="1" w:styleId="lev1">
    <w:name w:val="Élevé1"/>
    <w:qFormat/>
    <w:rPr>
      <w:b/>
      <w:bCs/>
    </w:rPr>
  </w:style>
  <w:style w:type="paragraph" w:styleId="Paragraphedeliste">
    <w:name w:val="List Paragraph"/>
    <w:qFormat/>
  </w:style>
  <w:style w:type="character" w:styleId="Lienhypertexte">
    <w:name w:val="Hyperlink"/>
    <w:uiPriority w:val="99"/>
    <w:unhideWhenUsed/>
    <w:rPr>
      <w:color w:val="0563C1"/>
      <w:u w:val="single"/>
    </w:rPr>
  </w:style>
  <w:style w:type="character" w:styleId="Appelnotedebasdep">
    <w:name w:val="footnote reference"/>
    <w:uiPriority w:val="99"/>
    <w:semiHidden/>
    <w:unhideWhenUsed/>
    <w:rPr>
      <w:vertAlign w:val="superscript"/>
    </w:rPr>
  </w:style>
  <w:style w:type="paragraph" w:styleId="Notedebasdepage">
    <w:name w:val="footnote text"/>
    <w:link w:val="NotedebasdepageCar"/>
    <w:uiPriority w:val="99"/>
    <w:semiHidden/>
    <w:unhideWhenUsed/>
    <w:rPr>
      <w:sz w:val="20"/>
      <w:szCs w:val="20"/>
    </w:rPr>
  </w:style>
  <w:style w:type="character" w:customStyle="1" w:styleId="NotedebasdepageCar">
    <w:name w:val="Note de bas de page Car"/>
    <w:link w:val="Notedebasdepage"/>
    <w:uiPriority w:val="99"/>
    <w:semiHidden/>
    <w:unhideWhenUsed/>
    <w:rPr>
      <w:sz w:val="20"/>
      <w:szCs w:val="20"/>
    </w:rPr>
  </w:style>
  <w:style w:type="character" w:styleId="Accentuation">
    <w:name w:val="Emphasis"/>
    <w:basedOn w:val="Policepardfaut"/>
    <w:uiPriority w:val="20"/>
    <w:qFormat/>
    <w:rsid w:val="009A0EDB"/>
    <w:rPr>
      <w:i/>
      <w:iCs/>
    </w:rPr>
  </w:style>
  <w:style w:type="character" w:styleId="lev">
    <w:name w:val="Strong"/>
    <w:basedOn w:val="Policepardfaut"/>
    <w:uiPriority w:val="22"/>
    <w:qFormat/>
    <w:rsid w:val="009A0ED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228</Words>
  <Characters>1256</Characters>
  <Application>Microsoft Office Word</Application>
  <DocSecurity>0</DocSecurity>
  <Lines>10</Lines>
  <Paragraphs>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Margaux Berthier</cp:lastModifiedBy>
  <cp:revision>3</cp:revision>
  <cp:lastPrinted>2026-03-23T15:13:00Z</cp:lastPrinted>
  <dcterms:created xsi:type="dcterms:W3CDTF">2026-03-23T15:14:00Z</dcterms:created>
  <dcterms:modified xsi:type="dcterms:W3CDTF">2026-03-23T19:43:00Z</dcterms:modified>
</cp:coreProperties>
</file>